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cs="宋体"/>
          <w:color w:val="000000"/>
          <w:kern w:val="0"/>
          <w:sz w:val="44"/>
          <w:szCs w:val="44"/>
        </w:rPr>
      </w:pPr>
      <w:r>
        <w:rPr>
          <w:rFonts w:hint="eastAsia" w:ascii="方正小标宋简体" w:eastAsia="方正小标宋简体" w:cs="宋体"/>
          <w:color w:val="000000"/>
          <w:kern w:val="0"/>
          <w:sz w:val="44"/>
          <w:szCs w:val="44"/>
        </w:rPr>
        <w:t>廊坊市广阳区纪律检查委员会2017年部门预算信息公开</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w:t>
      </w:r>
      <w:r>
        <w:rPr>
          <w:rFonts w:hint="eastAsia" w:ascii="仿宋_GB2312" w:eastAsia="仿宋_GB2312" w:cs="宋体"/>
          <w:color w:val="000000"/>
          <w:kern w:val="0"/>
          <w:sz w:val="32"/>
          <w:szCs w:val="32"/>
          <w:lang w:eastAsia="zh-CN"/>
        </w:rPr>
        <w:t>中华人民共和国</w:t>
      </w:r>
      <w:r>
        <w:rPr>
          <w:rFonts w:hint="eastAsia" w:ascii="仿宋_GB2312" w:eastAsia="仿宋_GB2312" w:cs="宋体"/>
          <w:color w:val="000000"/>
          <w:kern w:val="0"/>
          <w:sz w:val="32"/>
          <w:szCs w:val="32"/>
        </w:rPr>
        <w:t>预算法》、《地方预决算公开操作规程》和《河北省省级预算公开办法》规定，现将廊坊市广阳区</w:t>
      </w:r>
      <w:r>
        <w:rPr>
          <w:rFonts w:ascii="仿宋_GB2312" w:eastAsia="仿宋_GB2312" w:cs="宋体"/>
          <w:color w:val="000000"/>
          <w:kern w:val="0"/>
          <w:sz w:val="32"/>
          <w:szCs w:val="32"/>
        </w:rPr>
        <w:t>纪律检查委员会</w:t>
      </w:r>
      <w:r>
        <w:rPr>
          <w:rFonts w:hint="eastAsia" w:ascii="仿宋_GB2312" w:eastAsia="仿宋_GB2312" w:cs="宋体"/>
          <w:color w:val="000000"/>
          <w:kern w:val="0"/>
          <w:sz w:val="32"/>
          <w:szCs w:val="32"/>
        </w:rPr>
        <w:t>2017年部门预算公开如下：</w:t>
      </w:r>
    </w:p>
    <w:p>
      <w:pPr>
        <w:widowControl/>
        <w:spacing w:line="360" w:lineRule="atLeast"/>
        <w:ind w:left="640"/>
        <w:jc w:val="left"/>
        <w:rPr>
          <w:rFonts w:ascii="黑体" w:eastAsia="黑体" w:cs="宋体"/>
          <w:color w:val="000000"/>
          <w:kern w:val="0"/>
          <w:sz w:val="32"/>
          <w:szCs w:val="32"/>
        </w:rPr>
      </w:pPr>
      <w:r>
        <w:rPr>
          <w:rFonts w:hint="eastAsia" w:ascii="黑体" w:eastAsia="黑体" w:cs="宋体"/>
          <w:b/>
          <w:bCs/>
          <w:color w:val="000000"/>
          <w:kern w:val="0"/>
          <w:sz w:val="32"/>
          <w:szCs w:val="32"/>
        </w:rPr>
        <w:t>一、部门职责及机构设置情况</w:t>
      </w:r>
    </w:p>
    <w:p>
      <w:pPr>
        <w:widowControl/>
        <w:spacing w:line="360" w:lineRule="atLeast"/>
        <w:ind w:left="64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部门职责：</w:t>
      </w:r>
      <w:bookmarkStart w:id="0" w:name="_GoBack"/>
      <w:bookmarkEnd w:id="0"/>
      <w:r>
        <w:rPr>
          <w:rFonts w:hint="eastAsia" w:ascii="仿宋_GB2312" w:eastAsia="仿宋_GB2312" w:cs="宋体"/>
          <w:b/>
          <w:bCs/>
          <w:color w:val="000000"/>
          <w:kern w:val="0"/>
          <w:sz w:val="32"/>
          <w:szCs w:val="32"/>
        </w:rPr>
        <w:t xml:space="preserve"> </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（一）主管全区党的纪律检查工作。负责贯彻落实上级党委、纪委和区委关于加强党风廉政建设决定，维护党的章程和其他党内法规，检查党的路线、方针、政策和决议的执行情况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二）主管全区行政监察工作。负责贯彻落实上级党委、政府和区委、区政府有关行政监察工作的决定，监督区政府部门及其工作人员和各乡镇政府、街道办事处及其主要负责人执行国家及省、市、区的政策和法律、法规、国民经济和社会发展计划，国务院、省、市、区政府颁发的决议和命令的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三）负责检查并处理区委、区政府机关及其各部门、乡镇、街道党的组织和区委管理的党员领导干部违反党的章程及其他党内法规的案件，决定或取消对这些案件中的党员的处分；受理党员的控告和申诉，必要时直接查处下级党的纪律检查机关管辖范围内的比较重大或复杂的案件。</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四）负责调查处理区政府各部门及其工作人员，各乡镇政府、街道办事处及其主要负责人违反国家政策、法律、法规以及违反政纪的行为，并对责任人做出撤职及撤职以下的行政处分（涉及选举产生的领导干部按法定程序办理）；受理监察对象的申诉；受理个人或单位对违纪行为的检举和控告。</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（五）制定全区党风党纪教育规划。配合有关部门做好党的纪检监察工作方针、政策和法律法规的宣传工作；教育党员和国家工作人员遵纪守法，为政清廉。</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（六）负责对党的纪律检查和行政监察工作理论及有关问题进行调查研究，拟制和参与制定党纪、政纪条规。</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（七）调查研究区政府各部门和地方政府制定的有关政策、法规情况，对其违反国家法律和上级规定的条款，提出修改意见；变更或撤销各乡镇、街办处不适当的决定和规定。</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（八）按照市纪委和市委组织部下达的有关文件规定，管理区直单位和乡镇、街道纪检监察干部，组织和指导全区纪检监察干部的培训工作。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（九）承办区委、区政府及上级纪检监察机关授权和交办的其他工作。</w:t>
      </w:r>
    </w:p>
    <w:p>
      <w:pPr>
        <w:widowControl/>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ind w:firstLine="640" w:firstLineChars="200"/>
        <w:jc w:val="left"/>
        <w:rPr>
          <w:rFonts w:ascii="仿宋_GB2312" w:eastAsia="仿宋_GB2312" w:cs="宋体"/>
          <w:kern w:val="0"/>
          <w:sz w:val="32"/>
          <w:szCs w:val="32"/>
        </w:rPr>
      </w:pPr>
      <w:r>
        <w:rPr>
          <w:rFonts w:hint="eastAsia" w:ascii="仿宋_GB2312" w:eastAsia="仿宋_GB2312" w:cs="宋体"/>
          <w:color w:val="000000"/>
          <w:kern w:val="0"/>
          <w:sz w:val="32"/>
          <w:szCs w:val="32"/>
        </w:rPr>
        <w:t>部门机构设置情况</w:t>
      </w:r>
    </w:p>
    <w:tbl>
      <w:tblPr>
        <w:tblStyle w:val="4"/>
        <w:tblW w:w="956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35"/>
        <w:gridCol w:w="1630"/>
        <w:gridCol w:w="1488"/>
        <w:gridCol w:w="221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4" w:hRule="atLeast"/>
          <w:tblHeader/>
          <w:tblCellSpacing w:w="0" w:type="dxa"/>
          <w:jc w:val="center"/>
        </w:trPr>
        <w:tc>
          <w:tcPr>
            <w:tcW w:w="427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64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49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22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7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广阳区纪律检查委员会</w:t>
            </w:r>
          </w:p>
        </w:tc>
        <w:tc>
          <w:tcPr>
            <w:tcW w:w="164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49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副处级</w:t>
            </w:r>
          </w:p>
        </w:tc>
        <w:tc>
          <w:tcPr>
            <w:tcW w:w="222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360" w:lineRule="atLeast"/>
        <w:ind w:firstLine="643" w:firstLineChars="200"/>
        <w:jc w:val="left"/>
        <w:rPr>
          <w:rFonts w:ascii="黑体" w:eastAsia="黑体" w:cs="宋体"/>
          <w:color w:val="000000"/>
          <w:kern w:val="0"/>
          <w:sz w:val="32"/>
          <w:szCs w:val="32"/>
        </w:rPr>
      </w:pPr>
      <w:r>
        <w:rPr>
          <w:rFonts w:hint="eastAsia" w:ascii="黑体" w:eastAsia="黑体" w:cs="宋体"/>
          <w:b/>
          <w:bCs/>
          <w:color w:val="000000"/>
          <w:kern w:val="0"/>
          <w:sz w:val="32"/>
          <w:szCs w:val="32"/>
        </w:rPr>
        <w:t>二、部门预算安排的总体情况</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ascii="宋体" w:hAnsi="宋体" w:eastAsia="仿宋_GB2312" w:cs="宋体"/>
          <w:color w:val="000000"/>
          <w:kern w:val="0"/>
          <w:sz w:val="32"/>
          <w:szCs w:val="32"/>
        </w:rPr>
        <w:t xml:space="preserve"> </w:t>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p>
    <w:p>
      <w:pPr>
        <w:widowControl/>
        <w:numPr>
          <w:ilvl w:val="0"/>
          <w:numId w:val="1"/>
        </w:numPr>
        <w:spacing w:line="360" w:lineRule="atLeast"/>
        <w:jc w:val="left"/>
        <w:rPr>
          <w:rFonts w:ascii="楷体" w:eastAsia="楷体" w:cs="宋体"/>
          <w:color w:val="000000"/>
          <w:kern w:val="0"/>
          <w:sz w:val="32"/>
          <w:szCs w:val="32"/>
        </w:rPr>
      </w:pPr>
      <w:r>
        <w:rPr>
          <w:rFonts w:hint="eastAsia" w:ascii="楷体" w:eastAsia="楷体" w:cs="宋体"/>
          <w:b/>
          <w:bCs/>
          <w:color w:val="000000"/>
          <w:kern w:val="0"/>
          <w:sz w:val="32"/>
          <w:szCs w:val="32"/>
        </w:rPr>
        <w:t>收入说明</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2017年预算收入1237.07万元，其中：一般公共预算收入1237.07万元，政府性基金收入0万元。</w:t>
      </w:r>
    </w:p>
    <w:p>
      <w:pPr>
        <w:widowControl/>
        <w:spacing w:line="360" w:lineRule="atLeast"/>
        <w:ind w:firstLine="643" w:firstLineChars="200"/>
        <w:jc w:val="left"/>
        <w:rPr>
          <w:rFonts w:ascii="楷体" w:eastAsia="楷体" w:cs="宋体"/>
          <w:color w:val="000000"/>
          <w:kern w:val="0"/>
          <w:sz w:val="32"/>
          <w:szCs w:val="32"/>
        </w:rPr>
      </w:pPr>
      <w:r>
        <w:rPr>
          <w:rFonts w:hint="eastAsia" w:ascii="楷体" w:eastAsia="楷体" w:cs="宋体"/>
          <w:b/>
          <w:bCs/>
          <w:color w:val="000000"/>
          <w:kern w:val="0"/>
          <w:sz w:val="32"/>
          <w:szCs w:val="32"/>
        </w:rPr>
        <w:t>2、支出说明</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2017年支出预算1237.07万元，其中基本支出1237.07万元，包括人员经费和日常公用经费，项目支出0万元。</w:t>
      </w:r>
    </w:p>
    <w:p>
      <w:pPr>
        <w:widowControl/>
        <w:spacing w:line="360" w:lineRule="atLeast"/>
        <w:ind w:firstLine="643" w:firstLineChars="200"/>
        <w:jc w:val="left"/>
        <w:rPr>
          <w:rFonts w:ascii="楷体" w:eastAsia="楷体" w:cs="宋体"/>
          <w:color w:val="000000"/>
          <w:kern w:val="0"/>
          <w:sz w:val="32"/>
          <w:szCs w:val="32"/>
        </w:rPr>
      </w:pPr>
      <w:r>
        <w:rPr>
          <w:rFonts w:hint="eastAsia" w:ascii="楷体" w:eastAsia="楷体" w:cs="宋体"/>
          <w:b/>
          <w:bCs/>
          <w:color w:val="000000"/>
          <w:kern w:val="0"/>
          <w:sz w:val="32"/>
          <w:szCs w:val="32"/>
        </w:rPr>
        <w:t>3、比上年增减情况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2017年预算收支安排1237.07万元，较2016年预算增加151.47万元，其中：基本支出增加251.47万元，主要为增加人员经费支出；项目支出减少100万元，主要为财力紧张,预算未安排。</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三、机关运行经费安排情况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2017年预算安排我部门机关运行经费6.83万元，其中办公经费6.83万元。</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四、财政拨款“三公”经费预算情况及增减变化原因</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bCs/>
          <w:color w:val="000000"/>
          <w:kern w:val="0"/>
          <w:sz w:val="32"/>
          <w:szCs w:val="32"/>
        </w:rPr>
        <w:t>五、绩效预算信息</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总体绩效目标：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2017年，区纪委、监察局将继续在市纪委和区委、区政府的正确领导下，深入贯彻落实</w:t>
      </w:r>
      <w:r>
        <w:rPr>
          <w:rFonts w:hint="eastAsia" w:ascii="仿宋_GB2312" w:eastAsia="仿宋_GB2312" w:cs="宋体"/>
          <w:color w:val="000000"/>
          <w:kern w:val="0"/>
          <w:sz w:val="32"/>
          <w:szCs w:val="32"/>
          <w:lang w:eastAsia="zh-CN"/>
        </w:rPr>
        <w:t>党的十八大</w:t>
      </w:r>
      <w:r>
        <w:rPr>
          <w:rFonts w:hint="eastAsia" w:ascii="仿宋_GB2312" w:eastAsia="仿宋_GB2312" w:cs="宋体"/>
          <w:color w:val="000000"/>
          <w:kern w:val="0"/>
          <w:sz w:val="32"/>
          <w:szCs w:val="32"/>
        </w:rPr>
        <w:t>和十八届五中全会精神，围绕区委、区政府中心工作，强化领导、创新实践、突出重点，狠抓落实，全面推动全区党风廉政建设和反腐败工作再上新台阶，为促进全区经济社会又好又快发展做出新的贡献。明年，将重点抓好以下四个方面的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服务大局，助推党风廉政建设“两个责任”落实。把协助区委履行党风廉政建设主体责任作为落实纪委监督责任的首要前提。进一步厘清纪检监察职责，精准定位纪检监察工作，做到“不越位、不缺位、不错位”。监督党委（党组）及时落实“主体责任”，督促乡镇、街道及设纪检组部门及时调整纪委书记分工，使其不再分管纪检监察业务以外的工作，专司纪检，把主要职能划转到监督执纪问责上来。在协助区委制定出台“两个责任”实施方案的基础上，通过严格的责任报告、廉政谈话和责任考核等措施，督促各级党委切实担负起党风廉政建设领导者、执行者、推动者的重任。</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二、厘清思路，深入抓好</w:t>
      </w:r>
      <w:r>
        <w:rPr>
          <w:rFonts w:hint="eastAsia" w:ascii="仿宋_GB2312" w:eastAsia="仿宋_GB2312" w:cs="宋体"/>
          <w:color w:val="000000"/>
          <w:kern w:val="0"/>
          <w:sz w:val="32"/>
          <w:szCs w:val="32"/>
          <w:lang w:eastAsia="zh-CN"/>
        </w:rPr>
        <w:t>八项规定</w:t>
      </w:r>
      <w:r>
        <w:rPr>
          <w:rFonts w:hint="eastAsia" w:ascii="仿宋_GB2312" w:eastAsia="仿宋_GB2312" w:cs="宋体"/>
          <w:color w:val="000000"/>
          <w:kern w:val="0"/>
          <w:sz w:val="32"/>
          <w:szCs w:val="32"/>
        </w:rPr>
        <w:t>贯彻落实。大力解决形式主义、官僚主义、享乐主义和奢靡之风 “四风”问题。用制度实行刚性约束，以制定出台公务用餐管理办法为突破口，建立科学化、常态化的监督检查机制，加大对落实</w:t>
      </w:r>
      <w:r>
        <w:rPr>
          <w:rFonts w:hint="eastAsia" w:ascii="仿宋_GB2312" w:eastAsia="仿宋_GB2312" w:cs="宋体"/>
          <w:color w:val="000000"/>
          <w:kern w:val="0"/>
          <w:sz w:val="32"/>
          <w:szCs w:val="32"/>
          <w:lang w:eastAsia="zh-CN"/>
        </w:rPr>
        <w:t>八项规定</w:t>
      </w:r>
      <w:r>
        <w:rPr>
          <w:rFonts w:hint="eastAsia" w:ascii="仿宋_GB2312" w:eastAsia="仿宋_GB2312" w:cs="宋体"/>
          <w:color w:val="000000"/>
          <w:kern w:val="0"/>
          <w:sz w:val="32"/>
          <w:szCs w:val="32"/>
        </w:rPr>
        <w:t>和省委、市委关于加强作风建设情况的监督检查力度，结合监督检查情况，不断完善领导干部作风考核评价体系，逐步构建起评价作风建设的长效机制。</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三、突出主业，全力抓好查办案件工作。在完成办案目标基数的基础上，深挖线索多办案、集中力量办大案、保证质量办铁案。一是坚决把查办案件工作摆到各项工作的首位。牢固树立“纪检监察机关不办案就是失职的理念”，始终认识到，查办案件是纪检监察机关的根本职能，必须放在各项工作的首位，高度重视，认真对待。二是善于研究分析，狠抓重点。对诱发案件的深层次原因进行科学分析，有针对性的出台相关制度，严格加以规范。严肃查处发生在领导干部当中的违纪违法案件，尤其是大案要案;严肃查处低保救助、粮食直补、占地占林补贴等各项支农惠农政策落实不到位或贪污、冒领等损害群众利益的腐败案件。三是继续在拓展案源上下功夫。针对新形势下，腐败案件日益呈现出手段复杂、隐藏深等特点，千方百计、想方设法拓宽案件线索收集渠道。在已有方式的基础上，不断创新，尤其是利用开通的纪检监察网站、“清风广阳”微信平台等强化信访举报互动平台建设，通过现代科技手段的辅助，加大案源收集。四是切实发挥查办案件的惩戒作用。把查办案件作为教育警示干部的最有效手段。切实查办一批有影响的案件，及时召开典型案例发布会，通过身边的事教育身边的人，以鲜活的案例，促使广大党员干部真正在心灵深处受到震撼，进而在思想上筑牢防线。</w:t>
      </w:r>
    </w:p>
    <w:p>
      <w:pPr>
        <w:widowControl/>
        <w:spacing w:line="360" w:lineRule="atLeast"/>
        <w:ind w:firstLine="640" w:firstLineChars="200"/>
        <w:jc w:val="left"/>
        <w:rPr>
          <w:rFonts w:ascii="宋体" w:hAnsi="宋体" w:eastAsia="仿宋_GB2312" w:cs="宋体"/>
          <w:color w:val="000000"/>
          <w:kern w:val="0"/>
          <w:sz w:val="32"/>
          <w:szCs w:val="32"/>
        </w:rPr>
      </w:pPr>
      <w:r>
        <w:rPr>
          <w:rFonts w:hint="eastAsia" w:ascii="仿宋_GB2312" w:eastAsia="仿宋_GB2312" w:cs="宋体"/>
          <w:color w:val="000000"/>
          <w:kern w:val="0"/>
          <w:sz w:val="32"/>
          <w:szCs w:val="32"/>
        </w:rPr>
        <w:t>四、夯实基础，着力推进廉政文化建设。一是通过正反两方面典型，通过丰富多彩的活动，强化对党员干部的思想教育，使大家在潜移默化中受到教育，树牢清风正气。二是继续抓好社区廉政建设，深入推进廉政文化进社区。巩固、推广国际花园社区经验，积极打造其他亮点社区，深入开展廉政文化进社区活动，规范办事公开，深化社区民主议事日活动，加强社区民主管理和建设。三是在广泛调研的基础上，出台关于村街党风廉政建设的专门规定，从根本上规范村街干部的行为。</w:t>
      </w:r>
    </w:p>
    <w:p>
      <w:pPr>
        <w:widowControl/>
        <w:spacing w:line="360" w:lineRule="atLeast"/>
        <w:ind w:firstLine="640" w:firstLineChars="200"/>
        <w:jc w:val="left"/>
        <w:rPr>
          <w:rFonts w:ascii="仿宋_GB2312" w:eastAsia="仿宋_GB2312" w:cs="宋体"/>
          <w:b/>
          <w:bCs/>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（一）主管全区党的纪律检查工作。负责贯彻落实上级党委、纪委和区委关于加强党风廉政建设决定，维护党的章程和其他党内法规，检查党的路线、方针、政策和决议的执行情况。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二）主管全区行政监察工作。负责贯彻落实上级党委、政府和区委、区政府有关行政监察工作的决定，监督区政府部门及其工作人员和各乡镇政府、街道办事处及其主要负责人执行国家及省、市、区的政策和法律、法规、国民经济和社会发展计划，国务院、省、市、区政府颁发的决议和命令的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三）负责检查并处理区委、区政府机关及其各部门、乡镇、街道党的组织和区委管理的党员领导干部违反党的章程及其他党内法规的案件，决定或取消对这些案件中的党员的处分；受理党员的控告和申诉，必要时直接查处下级党的纪律检查机关管辖范围内的比较重大或复杂的案件。</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四）负责调查处理区政府各部门及其工作人员，各乡镇政府、街道办事处及其主要负责人违反国家政策、法律、法规以及违反政纪的行为，并对责任人做出撤职及撤职以下的行政处分（涉及选举产生的领导干部按法定程序办理）；受理监察对象的申诉；受理个人或单位对违纪行为的检举和控告。</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（五）制定全区党风党纪教育规划。配合有关部门做好党的纪检监察工作方针、政策和法律法规的宣传工作；教育党员和国家工作人员遵纪守法，为政清廉。</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（六）负责对党的纪律检查和行政监察工作理论及有关问题进行调查研究，拟制和参与制定党纪、政纪条规。</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（七）调查研究区政府各部门和地方政府制定的有关政策、法规情况，对其违反国家法律和上级规定的条款，提出修改意见；变更或撤销各乡镇、街办处不适当的决定和规定。</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（八）按照市纪委和市委组织部下达的有关文件规定，管理区直单位和乡镇、街道纪检监察干部，组织和指导全区纪检监察干部的培训工作。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（九）承办区委、区政府及上级纪检监察机关授权和交办的其他工作。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部门职责-工作活动绩效目标</w:t>
      </w:r>
    </w:p>
    <w:tbl>
      <w:tblPr>
        <w:tblStyle w:val="4"/>
        <w:tblW w:w="968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96"/>
        <w:gridCol w:w="416"/>
        <w:gridCol w:w="2863"/>
        <w:gridCol w:w="1642"/>
        <w:gridCol w:w="996"/>
        <w:gridCol w:w="544"/>
        <w:gridCol w:w="544"/>
        <w:gridCol w:w="544"/>
        <w:gridCol w:w="54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7569" w:type="dxa"/>
            <w:gridSpan w:val="5"/>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237中共廊坊市广阳区纪律检查委员会</w:t>
            </w:r>
          </w:p>
        </w:tc>
        <w:tc>
          <w:tcPr>
            <w:tcW w:w="2165"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621"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职责活动</w:t>
            </w:r>
          </w:p>
        </w:tc>
        <w:tc>
          <w:tcPr>
            <w:tcW w:w="422"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年度预算数</w:t>
            </w:r>
          </w:p>
        </w:tc>
        <w:tc>
          <w:tcPr>
            <w:tcW w:w="2908"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内容描述</w:t>
            </w:r>
          </w:p>
        </w:tc>
        <w:tc>
          <w:tcPr>
            <w:tcW w:w="1668"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绩效目标</w:t>
            </w:r>
          </w:p>
        </w:tc>
        <w:tc>
          <w:tcPr>
            <w:tcW w:w="1011"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绩效指标</w:t>
            </w:r>
          </w:p>
        </w:tc>
        <w:tc>
          <w:tcPr>
            <w:tcW w:w="2165" w:type="dxa"/>
            <w:gridSpan w:val="4"/>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596" w:type="dxa"/>
            <w:vMerge w:val="continue"/>
            <w:tcBorders>
              <w:top w:val="outset" w:color="auto" w:sz="6" w:space="0"/>
              <w:left w:val="outset" w:color="auto" w:sz="6" w:space="0"/>
              <w:bottom w:val="outset" w:color="auto" w:sz="6" w:space="0"/>
              <w:right w:val="outset" w:color="auto" w:sz="6" w:space="0"/>
            </w:tcBorders>
            <w:vAlign w:val="center"/>
          </w:tcPr>
          <w:p/>
        </w:tc>
        <w:tc>
          <w:tcPr>
            <w:tcW w:w="416" w:type="dxa"/>
            <w:vMerge w:val="continue"/>
            <w:tcBorders>
              <w:top w:val="outset" w:color="auto" w:sz="6" w:space="0"/>
              <w:left w:val="outset" w:color="auto" w:sz="6" w:space="0"/>
              <w:bottom w:val="outset" w:color="auto" w:sz="6" w:space="0"/>
              <w:right w:val="outset" w:color="auto" w:sz="6" w:space="0"/>
            </w:tcBorders>
            <w:vAlign w:val="center"/>
          </w:tcPr>
          <w:p/>
        </w:tc>
        <w:tc>
          <w:tcPr>
            <w:tcW w:w="2864" w:type="dxa"/>
            <w:vMerge w:val="continue"/>
            <w:tcBorders>
              <w:top w:val="outset" w:color="auto" w:sz="6" w:space="0"/>
              <w:left w:val="outset" w:color="auto" w:sz="6" w:space="0"/>
              <w:bottom w:val="outset" w:color="auto" w:sz="6" w:space="0"/>
              <w:right w:val="outset" w:color="auto" w:sz="6" w:space="0"/>
            </w:tcBorders>
            <w:vAlign w:val="center"/>
          </w:tcPr>
          <w:p/>
        </w:tc>
        <w:tc>
          <w:tcPr>
            <w:tcW w:w="1642" w:type="dxa"/>
            <w:vMerge w:val="continue"/>
            <w:tcBorders>
              <w:top w:val="outset" w:color="auto" w:sz="6" w:space="0"/>
              <w:left w:val="outset" w:color="auto" w:sz="6" w:space="0"/>
              <w:bottom w:val="outset" w:color="auto" w:sz="6" w:space="0"/>
              <w:right w:val="outset" w:color="auto" w:sz="6" w:space="0"/>
            </w:tcBorders>
            <w:vAlign w:val="center"/>
          </w:tcPr>
          <w:p/>
        </w:tc>
        <w:tc>
          <w:tcPr>
            <w:tcW w:w="995" w:type="dxa"/>
            <w:vMerge w:val="continue"/>
            <w:tcBorders>
              <w:top w:val="outset" w:color="auto" w:sz="6" w:space="0"/>
              <w:left w:val="outset" w:color="auto" w:sz="6" w:space="0"/>
              <w:bottom w:val="outset" w:color="auto" w:sz="6" w:space="0"/>
              <w:right w:val="outset" w:color="auto" w:sz="6" w:space="0"/>
            </w:tcBorders>
            <w:vAlign w:val="center"/>
          </w:tcP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优</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良</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中</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b/>
                <w:bCs/>
                <w:color w:val="000000"/>
                <w:kern w:val="0"/>
                <w:sz w:val="24"/>
                <w:szCs w:val="24"/>
              </w:rPr>
            </w:pPr>
            <w:r>
              <w:rPr>
                <w:rFonts w:hint="eastAsia" w:ascii="仿宋_GB2312" w:eastAsia="仿宋_GB2312" w:cs="宋体"/>
                <w:b/>
                <w:bCs/>
                <w:color w:val="000000"/>
                <w:kern w:val="0"/>
                <w:sz w:val="24"/>
                <w:szCs w:val="24"/>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办案问责</w:t>
            </w:r>
          </w:p>
        </w:tc>
        <w:tc>
          <w:tcPr>
            <w:tcW w:w="42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2908"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受理信访、举报，集中管理问题线索、组织协调案件查办，调查、审查违纪违法案件，对案件审理提出处理意见。乡镇、街道纪委办案工作经费。</w:t>
            </w:r>
          </w:p>
        </w:tc>
        <w:tc>
          <w:tcPr>
            <w:tcW w:w="1668"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维护党纪国法尊严，坚决惩处腐败分子，有效遏制腐败现象。</w:t>
            </w:r>
          </w:p>
        </w:tc>
        <w:tc>
          <w:tcPr>
            <w:tcW w:w="101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　　案件查办</w:t>
            </w:r>
          </w:p>
        </w:tc>
        <w:tc>
          <w:tcPr>
            <w:tcW w:w="42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2908"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对有关对象违反党纪政纪和违纪违法行为进行处理；组织协调案件查办工作;承担区委反腐败协调小组办公室职能。乡镇、街道纪委办案工作经费。</w:t>
            </w:r>
          </w:p>
        </w:tc>
        <w:tc>
          <w:tcPr>
            <w:tcW w:w="1668"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维护党纪国法尊严，坚决惩处腐败分子，有效遏制腐败现象。</w:t>
            </w:r>
          </w:p>
        </w:tc>
        <w:tc>
          <w:tcPr>
            <w:tcW w:w="101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案件查办率</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≥90%</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≥80%</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≥70%</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党风廉政建设及网络维护运行</w:t>
            </w:r>
          </w:p>
        </w:tc>
        <w:tc>
          <w:tcPr>
            <w:tcW w:w="42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2908"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组织协调全区党风廉政建设和反腐败宣传、教育、课题研究、文化长廊建设、纪检监察网二期建设及维护费。</w:t>
            </w:r>
          </w:p>
        </w:tc>
        <w:tc>
          <w:tcPr>
            <w:tcW w:w="1668"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积极发挥职能作用，加强党风廉政建设，营造风清气正、干事创业的工作氛围。</w:t>
            </w:r>
          </w:p>
        </w:tc>
        <w:tc>
          <w:tcPr>
            <w:tcW w:w="101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　　党风廉政建设及网络运行维护</w:t>
            </w:r>
          </w:p>
        </w:tc>
        <w:tc>
          <w:tcPr>
            <w:tcW w:w="42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2908"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组织协调全区党风廉政建设和反腐败宣传、教育、课题研究、文化长廊建设、纪检监察网二期建设及维护费。</w:t>
            </w:r>
          </w:p>
        </w:tc>
        <w:tc>
          <w:tcPr>
            <w:tcW w:w="1668"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积极发挥职能作用，加强党风廉政建设，营造风清气正、干事创业的工作氛围。</w:t>
            </w:r>
          </w:p>
        </w:tc>
        <w:tc>
          <w:tcPr>
            <w:tcW w:w="101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教育活动完成率及网络建设完成率</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≥90%</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≥80%</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≥70%</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监督检查及巡视督查</w:t>
            </w:r>
          </w:p>
        </w:tc>
        <w:tc>
          <w:tcPr>
            <w:tcW w:w="42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2908"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监督检查党内法规政策、国家法律法规、党风廉政建设等的执行情况；明察暗访、贯彻落实区委有关部署，开展常态化全覆盖监督；巡查设备的采购，为监督检查提供服务保障工作。</w:t>
            </w:r>
          </w:p>
        </w:tc>
        <w:tc>
          <w:tcPr>
            <w:tcW w:w="1668"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加大问责力度，促进“两个责任”有效落实。</w:t>
            </w:r>
          </w:p>
        </w:tc>
        <w:tc>
          <w:tcPr>
            <w:tcW w:w="101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　　监督检查</w:t>
            </w:r>
          </w:p>
        </w:tc>
        <w:tc>
          <w:tcPr>
            <w:tcW w:w="42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2908"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监督检查党内法规政策、国家法律法规、党风廉政建设等的执行情况；明察暗访、贯彻落实区委有关部署，开展常态化全覆盖监督；巡查设备的采购，为监督检查提供服务保障工作。</w:t>
            </w:r>
          </w:p>
        </w:tc>
        <w:tc>
          <w:tcPr>
            <w:tcW w:w="1668"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加大问责力度，促进“两个责任”有效落实。</w:t>
            </w:r>
          </w:p>
        </w:tc>
        <w:tc>
          <w:tcPr>
            <w:tcW w:w="101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巡查工作覆盖率</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≥90%</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≥80%</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≥70%</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纪检事务管理</w:t>
            </w:r>
          </w:p>
        </w:tc>
        <w:tc>
          <w:tcPr>
            <w:tcW w:w="42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2908"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办公楼修缮维护、水电暖卫生费、车辆运行维护、报刊费等。保障派出机构日常运行。</w:t>
            </w:r>
          </w:p>
        </w:tc>
        <w:tc>
          <w:tcPr>
            <w:tcW w:w="1668"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为案件查办、纪检监察业务提高服务，保障机关及派出机构正常运行。</w:t>
            </w:r>
          </w:p>
        </w:tc>
        <w:tc>
          <w:tcPr>
            <w:tcW w:w="101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62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b/>
                <w:bCs/>
                <w:color w:val="000000"/>
                <w:kern w:val="0"/>
                <w:sz w:val="24"/>
                <w:szCs w:val="24"/>
              </w:rPr>
              <w:t>　　综合事务管理</w:t>
            </w:r>
          </w:p>
        </w:tc>
        <w:tc>
          <w:tcPr>
            <w:tcW w:w="42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宋体" w:hAnsi="宋体" w:eastAsia="仿宋_GB2312" w:cs="宋体"/>
                <w:color w:val="000000"/>
                <w:kern w:val="0"/>
                <w:sz w:val="24"/>
                <w:szCs w:val="24"/>
              </w:rPr>
            </w:pPr>
            <w:r>
              <w:rPr>
                <w:rFonts w:hint="eastAsia" w:ascii="宋体" w:hAnsi="宋体" w:eastAsia="仿宋_GB2312" w:cs="宋体"/>
                <w:color w:val="000000"/>
                <w:kern w:val="0"/>
                <w:sz w:val="24"/>
                <w:szCs w:val="24"/>
              </w:rPr>
              <w:t> </w:t>
            </w:r>
          </w:p>
        </w:tc>
        <w:tc>
          <w:tcPr>
            <w:tcW w:w="2908"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办公楼修缮维护、水电暖卫生费、车辆运行维护、报刊费等。保障派出机构日常运行经费。</w:t>
            </w:r>
          </w:p>
        </w:tc>
        <w:tc>
          <w:tcPr>
            <w:tcW w:w="1668"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纪检事务管理</w:t>
            </w:r>
          </w:p>
        </w:tc>
        <w:tc>
          <w:tcPr>
            <w:tcW w:w="101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综合事务保障率</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100%</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≥95%</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≥90%</w:t>
            </w:r>
          </w:p>
        </w:tc>
        <w:tc>
          <w:tcPr>
            <w:tcW w:w="552"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ascii="仿宋_GB2312" w:eastAsia="仿宋_GB2312" w:cs="宋体"/>
                <w:color w:val="000000"/>
                <w:kern w:val="0"/>
                <w:sz w:val="24"/>
                <w:szCs w:val="24"/>
              </w:rPr>
            </w:pPr>
            <w:r>
              <w:rPr>
                <w:rFonts w:hint="eastAsia" w:ascii="仿宋_GB2312" w:eastAsia="仿宋_GB2312" w:cs="宋体"/>
                <w:color w:val="000000"/>
                <w:kern w:val="0"/>
                <w:sz w:val="24"/>
                <w:szCs w:val="24"/>
              </w:rPr>
              <w:t>＜90%</w:t>
            </w:r>
          </w:p>
        </w:tc>
      </w:tr>
    </w:tbl>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bCs/>
          <w:color w:val="000000"/>
          <w:kern w:val="0"/>
          <w:sz w:val="32"/>
          <w:szCs w:val="32"/>
        </w:rPr>
        <w:t> 六、政府采购预算情况</w:t>
      </w:r>
    </w:p>
    <w:p>
      <w:pPr>
        <w:widowControl/>
        <w:spacing w:line="360" w:lineRule="atLeast"/>
        <w:jc w:val="center"/>
        <w:rPr>
          <w:rFonts w:ascii="仿宋_GB2312" w:eastAsia="仿宋_GB2312" w:cs="宋体"/>
          <w:b/>
          <w:bCs/>
          <w:color w:val="000000"/>
          <w:kern w:val="0"/>
          <w:sz w:val="32"/>
          <w:szCs w:val="32"/>
        </w:rPr>
      </w:pPr>
      <w:r>
        <w:rPr>
          <w:rFonts w:hint="eastAsia" w:ascii="仿宋_GB2312" w:eastAsia="仿宋_GB2312" w:cs="Times New Roman"/>
          <w:sz w:val="32"/>
          <w:szCs w:val="32"/>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68"/>
        <w:gridCol w:w="1013"/>
        <w:gridCol w:w="831"/>
        <w:gridCol w:w="1324"/>
        <w:gridCol w:w="831"/>
        <w:gridCol w:w="831"/>
        <w:gridCol w:w="867"/>
        <w:gridCol w:w="850"/>
        <w:gridCol w:w="850"/>
        <w:gridCol w:w="850"/>
        <w:gridCol w:w="773"/>
        <w:gridCol w:w="834"/>
        <w:gridCol w:w="845"/>
        <w:gridCol w:w="7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4"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4"/>
                <w:szCs w:val="24"/>
              </w:rPr>
            </w:pPr>
            <w:r>
              <w:rPr>
                <w:rFonts w:ascii="仿宋_GB2312" w:eastAsia="仿宋_GB2312" w:cs="Times New Roman"/>
                <w:sz w:val="24"/>
                <w:szCs w:val="24"/>
              </w:rPr>
              <w:t>廊坊市广阳区纪律检查委员会</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4"/>
                <w:szCs w:val="24"/>
              </w:rPr>
            </w:pPr>
            <w:r>
              <w:rPr>
                <w:rFonts w:hint="eastAsia" w:ascii="仿宋_GB2312" w:eastAsia="仿宋_GB2312" w:cs="Times New Roman"/>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2" w:type="pct"/>
            <w:gridSpan w:val="2"/>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政府采购项目来源</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采购物品名称</w:t>
            </w:r>
          </w:p>
        </w:tc>
        <w:tc>
          <w:tcPr>
            <w:tcW w:w="481"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政府采购目录序号</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数量  单位</w:t>
            </w:r>
          </w:p>
        </w:tc>
        <w:tc>
          <w:tcPr>
            <w:tcW w:w="302"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单价</w:t>
            </w:r>
          </w:p>
        </w:tc>
        <w:tc>
          <w:tcPr>
            <w:tcW w:w="2105" w:type="pct"/>
            <w:gridSpan w:val="7"/>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4" w:type="pct"/>
            <w:vMerge w:val="restar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09" w:type="pct"/>
            <w:vMerge w:val="restar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总计</w:t>
            </w:r>
          </w:p>
        </w:tc>
        <w:tc>
          <w:tcPr>
            <w:tcW w:w="1509" w:type="pct"/>
            <w:gridSpan w:val="5"/>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当年部门预算安排资金</w:t>
            </w:r>
          </w:p>
        </w:tc>
        <w:tc>
          <w:tcPr>
            <w:tcW w:w="285" w:type="pct"/>
            <w:vMerge w:val="restar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09" w:type="pc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合计</w:t>
            </w:r>
          </w:p>
        </w:tc>
        <w:tc>
          <w:tcPr>
            <w:tcW w:w="309" w:type="pc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一般公共预算拨款</w:t>
            </w:r>
          </w:p>
        </w:tc>
        <w:tc>
          <w:tcPr>
            <w:tcW w:w="281" w:type="pc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基金预算拨款</w:t>
            </w:r>
          </w:p>
        </w:tc>
        <w:tc>
          <w:tcPr>
            <w:tcW w:w="303" w:type="pc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财政专户核拨</w:t>
            </w:r>
          </w:p>
        </w:tc>
        <w:tc>
          <w:tcPr>
            <w:tcW w:w="303" w:type="pct"/>
            <w:shd w:val="clear" w:color="auto" w:fill="auto"/>
            <w:vAlign w:val="center"/>
          </w:tcPr>
          <w:p>
            <w:pPr>
              <w:spacing w:line="300" w:lineRule="exact"/>
              <w:jc w:val="center"/>
              <w:rPr>
                <w:rFonts w:ascii="仿宋_GB2312" w:eastAsia="仿宋_GB2312" w:cs="Times New Roman"/>
                <w:b/>
                <w:sz w:val="24"/>
                <w:szCs w:val="24"/>
              </w:rPr>
            </w:pPr>
            <w:r>
              <w:rPr>
                <w:rFonts w:hint="eastAsia" w:ascii="仿宋_GB2312" w:eastAsia="仿宋_GB2312" w:cs="Times New Roman"/>
                <w:b/>
                <w:sz w:val="24"/>
                <w:szCs w:val="24"/>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300" w:lineRule="exact"/>
              <w:jc w:val="center"/>
              <w:rPr>
                <w:rFonts w:ascii="仿宋_GB2312" w:eastAsia="仿宋_GB2312" w:cs="Times New Roman"/>
                <w:b/>
                <w:sz w:val="32"/>
                <w:szCs w:val="32"/>
              </w:rPr>
            </w:pPr>
            <w:r>
              <w:rPr>
                <w:rFonts w:hint="eastAsia" w:ascii="仿宋_GB2312" w:eastAsia="仿宋_GB2312" w:cs="Times New Roman"/>
                <w:b/>
                <w:sz w:val="32"/>
                <w:szCs w:val="32"/>
              </w:rPr>
              <w:t>合　计</w:t>
            </w:r>
          </w:p>
        </w:tc>
        <w:tc>
          <w:tcPr>
            <w:tcW w:w="367" w:type="pct"/>
            <w:shd w:val="clear" w:color="auto" w:fill="auto"/>
            <w:vAlign w:val="center"/>
          </w:tcPr>
          <w:p>
            <w:pPr>
              <w:spacing w:line="300" w:lineRule="exact"/>
              <w:jc w:val="righ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481"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right"/>
              <w:rPr>
                <w:rFonts w:ascii="仿宋_GB2312" w:eastAsia="仿宋_GB2312" w:cs="Times New Roman"/>
                <w:b/>
                <w:sz w:val="32"/>
                <w:szCs w:val="32"/>
              </w:rPr>
            </w:pPr>
          </w:p>
        </w:tc>
        <w:tc>
          <w:tcPr>
            <w:tcW w:w="310"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281"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285" w:type="pct"/>
            <w:shd w:val="clear" w:color="auto" w:fill="auto"/>
            <w:vAlign w:val="center"/>
          </w:tcPr>
          <w:p>
            <w:pPr>
              <w:spacing w:line="300" w:lineRule="exact"/>
              <w:jc w:val="right"/>
              <w:rPr>
                <w:rFonts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300" w:lineRule="exact"/>
              <w:jc w:val="center"/>
              <w:rPr>
                <w:rFonts w:ascii="仿宋_GB2312" w:eastAsia="仿宋_GB2312" w:cs="Times New Roman"/>
                <w:b/>
                <w:sz w:val="32"/>
                <w:szCs w:val="32"/>
              </w:rPr>
            </w:pPr>
          </w:p>
        </w:tc>
        <w:tc>
          <w:tcPr>
            <w:tcW w:w="367" w:type="pct"/>
            <w:shd w:val="clear" w:color="auto" w:fill="auto"/>
            <w:vAlign w:val="center"/>
          </w:tcPr>
          <w:p>
            <w:pPr>
              <w:spacing w:line="300" w:lineRule="exact"/>
              <w:jc w:val="righ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481"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left"/>
              <w:rPr>
                <w:rFonts w:ascii="仿宋_GB2312" w:eastAsia="仿宋_GB2312" w:cs="Times New Roman"/>
                <w:b/>
                <w:sz w:val="32"/>
                <w:szCs w:val="32"/>
              </w:rPr>
            </w:pPr>
          </w:p>
        </w:tc>
        <w:tc>
          <w:tcPr>
            <w:tcW w:w="302" w:type="pct"/>
            <w:shd w:val="clear" w:color="auto" w:fill="auto"/>
            <w:vAlign w:val="center"/>
          </w:tcPr>
          <w:p>
            <w:pPr>
              <w:spacing w:line="300" w:lineRule="exact"/>
              <w:jc w:val="right"/>
              <w:rPr>
                <w:rFonts w:ascii="仿宋_GB2312" w:eastAsia="仿宋_GB2312" w:cs="Times New Roman"/>
                <w:b/>
                <w:sz w:val="32"/>
                <w:szCs w:val="32"/>
              </w:rPr>
            </w:pPr>
          </w:p>
        </w:tc>
        <w:tc>
          <w:tcPr>
            <w:tcW w:w="310"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309" w:type="pct"/>
            <w:shd w:val="clear" w:color="auto" w:fill="auto"/>
            <w:vAlign w:val="center"/>
          </w:tcPr>
          <w:p>
            <w:pPr>
              <w:spacing w:line="300" w:lineRule="exact"/>
              <w:jc w:val="right"/>
              <w:rPr>
                <w:rFonts w:ascii="仿宋_GB2312" w:eastAsia="仿宋_GB2312" w:cs="Times New Roman"/>
                <w:b/>
                <w:sz w:val="32"/>
                <w:szCs w:val="32"/>
              </w:rPr>
            </w:pPr>
          </w:p>
        </w:tc>
        <w:tc>
          <w:tcPr>
            <w:tcW w:w="281"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303" w:type="pct"/>
            <w:shd w:val="clear" w:color="auto" w:fill="auto"/>
            <w:vAlign w:val="center"/>
          </w:tcPr>
          <w:p>
            <w:pPr>
              <w:spacing w:line="300" w:lineRule="exact"/>
              <w:jc w:val="right"/>
              <w:rPr>
                <w:rFonts w:ascii="仿宋_GB2312" w:eastAsia="仿宋_GB2312" w:cs="Times New Roman"/>
                <w:b/>
                <w:sz w:val="32"/>
                <w:szCs w:val="32"/>
              </w:rPr>
            </w:pPr>
          </w:p>
        </w:tc>
        <w:tc>
          <w:tcPr>
            <w:tcW w:w="285" w:type="pct"/>
            <w:shd w:val="clear" w:color="auto" w:fill="auto"/>
            <w:vAlign w:val="center"/>
          </w:tcPr>
          <w:p>
            <w:pPr>
              <w:spacing w:line="300" w:lineRule="exact"/>
              <w:jc w:val="right"/>
              <w:rPr>
                <w:rFonts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300" w:lineRule="exact"/>
              <w:jc w:val="left"/>
              <w:rPr>
                <w:rFonts w:ascii="仿宋_GB2312" w:eastAsia="仿宋_GB2312" w:cs="Times New Roman"/>
                <w:sz w:val="32"/>
                <w:szCs w:val="32"/>
              </w:rPr>
            </w:pPr>
          </w:p>
        </w:tc>
        <w:tc>
          <w:tcPr>
            <w:tcW w:w="367" w:type="pct"/>
            <w:shd w:val="clear" w:color="auto" w:fill="auto"/>
            <w:vAlign w:val="center"/>
          </w:tcPr>
          <w:p>
            <w:pPr>
              <w:spacing w:line="300" w:lineRule="exact"/>
              <w:jc w:val="righ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481"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left"/>
              <w:rPr>
                <w:rFonts w:ascii="仿宋_GB2312" w:eastAsia="仿宋_GB2312" w:cs="Times New Roman"/>
                <w:sz w:val="32"/>
                <w:szCs w:val="32"/>
              </w:rPr>
            </w:pPr>
          </w:p>
        </w:tc>
        <w:tc>
          <w:tcPr>
            <w:tcW w:w="302"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309" w:type="pct"/>
            <w:shd w:val="clear" w:color="auto" w:fill="auto"/>
            <w:vAlign w:val="center"/>
          </w:tcPr>
          <w:p>
            <w:pPr>
              <w:spacing w:line="300" w:lineRule="exact"/>
              <w:jc w:val="right"/>
              <w:rPr>
                <w:rFonts w:ascii="仿宋_GB2312" w:eastAsia="仿宋_GB2312" w:cs="Times New Roman"/>
                <w:sz w:val="32"/>
                <w:szCs w:val="32"/>
              </w:rPr>
            </w:pPr>
          </w:p>
        </w:tc>
        <w:tc>
          <w:tcPr>
            <w:tcW w:w="281"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285" w:type="pct"/>
            <w:shd w:val="clear" w:color="auto" w:fill="auto"/>
            <w:vAlign w:val="center"/>
          </w:tcPr>
          <w:p>
            <w:pPr>
              <w:spacing w:line="300" w:lineRule="exact"/>
              <w:jc w:val="right"/>
              <w:rPr>
                <w:rFonts w:ascii="仿宋_GB2312" w:eastAsia="仿宋_GB2312" w:cs="Times New Roman"/>
                <w:sz w:val="32"/>
                <w:szCs w:val="32"/>
              </w:rPr>
            </w:pPr>
          </w:p>
        </w:tc>
      </w:tr>
    </w:tbl>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2017年，我部门未安排政府采购预算。</w:t>
      </w:r>
    </w:p>
    <w:p>
      <w:pPr>
        <w:widowControl/>
        <w:spacing w:line="360" w:lineRule="atLeast"/>
        <w:jc w:val="left"/>
        <w:rPr>
          <w:rFonts w:ascii="黑体" w:eastAsia="黑体" w:cs="宋体"/>
          <w:color w:val="000000"/>
          <w:kern w:val="0"/>
          <w:sz w:val="32"/>
          <w:szCs w:val="32"/>
        </w:rPr>
      </w:pPr>
      <w:r>
        <w:rPr>
          <w:rFonts w:hint="eastAsia" w:ascii="黑体" w:eastAsia="黑体" w:cs="宋体"/>
          <w:b/>
          <w:bCs/>
          <w:color w:val="000000"/>
          <w:kern w:val="0"/>
          <w:sz w:val="32"/>
          <w:szCs w:val="32"/>
        </w:rPr>
        <w:t>七、国有资产信息</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我部门（含所属单位）上年末固定资产金额为314.12万元，我部门本年度无拟购置固定资产</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详见下表。</w:t>
      </w:r>
    </w:p>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p>
    <w:tbl>
      <w:tblPr>
        <w:tblStyle w:val="4"/>
        <w:tblW w:w="11203" w:type="dxa"/>
        <w:tblCellSpacing w:w="0" w:type="dxa"/>
        <w:tblInd w:w="1702" w:type="dxa"/>
        <w:tblLayout w:type="autofit"/>
        <w:tblCellMar>
          <w:top w:w="0" w:type="dxa"/>
          <w:left w:w="0" w:type="dxa"/>
          <w:bottom w:w="0" w:type="dxa"/>
          <w:right w:w="0" w:type="dxa"/>
        </w:tblCellMar>
      </w:tblPr>
      <w:tblGrid>
        <w:gridCol w:w="4303"/>
        <w:gridCol w:w="2457"/>
        <w:gridCol w:w="4563"/>
      </w:tblGrid>
      <w:tr>
        <w:tblPrEx>
          <w:tblCellMar>
            <w:top w:w="0" w:type="dxa"/>
            <w:left w:w="0" w:type="dxa"/>
            <w:bottom w:w="0" w:type="dxa"/>
            <w:right w:w="0" w:type="dxa"/>
          </w:tblCellMar>
        </w:tblPrEx>
        <w:trPr>
          <w:trHeight w:val="452" w:hRule="atLeast"/>
          <w:tblCellSpacing w:w="0" w:type="dxa"/>
        </w:trPr>
        <w:tc>
          <w:tcPr>
            <w:tcW w:w="11233" w:type="dxa"/>
            <w:gridSpan w:val="3"/>
            <w:noWrap/>
            <w:vAlign w:val="center"/>
          </w:tcPr>
          <w:p>
            <w:pPr>
              <w:widowControl/>
              <w:jc w:val="center"/>
              <w:rPr>
                <w:rFonts w:ascii="仿宋_GB2312" w:eastAsia="仿宋_GB2312" w:cs="宋体"/>
                <w:kern w:val="0"/>
                <w:sz w:val="32"/>
                <w:szCs w:val="32"/>
              </w:rPr>
            </w:pPr>
            <w:r>
              <w:rPr>
                <w:rFonts w:ascii="宋体" w:hAnsi="宋体" w:eastAsia="仿宋_GB2312" w:cs="宋体"/>
                <w:kern w:val="0"/>
                <w:sz w:val="32"/>
                <w:szCs w:val="32"/>
              </w:rPr>
              <w:t> </w:t>
            </w:r>
            <w:r>
              <w:rPr>
                <w:rFonts w:hint="eastAsia" w:ascii="仿宋_GB2312" w:eastAsia="仿宋_GB2312" w:cs="宋体"/>
                <w:b/>
                <w:bCs/>
                <w:kern w:val="0"/>
                <w:sz w:val="32"/>
                <w:szCs w:val="32"/>
              </w:rPr>
              <w:t>廊坊市广阳区预算部门固定资产占用情况表</w:t>
            </w:r>
          </w:p>
        </w:tc>
      </w:tr>
      <w:tr>
        <w:tblPrEx>
          <w:tblCellMar>
            <w:top w:w="0" w:type="dxa"/>
            <w:left w:w="0" w:type="dxa"/>
            <w:bottom w:w="0" w:type="dxa"/>
            <w:right w:w="0" w:type="dxa"/>
          </w:tblCellMar>
        </w:tblPrEx>
        <w:trPr>
          <w:trHeight w:val="432" w:hRule="atLeast"/>
          <w:tblCellSpacing w:w="0" w:type="dxa"/>
        </w:trPr>
        <w:tc>
          <w:tcPr>
            <w:tcW w:w="6705"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编制部门：</w:t>
            </w:r>
            <w:r>
              <w:rPr>
                <w:rFonts w:hint="eastAsia" w:ascii="仿宋_GB2312" w:eastAsia="仿宋_GB2312" w:cs="宋体"/>
                <w:b/>
                <w:bCs/>
                <w:kern w:val="0"/>
                <w:sz w:val="32"/>
                <w:szCs w:val="32"/>
              </w:rPr>
              <w:t>中共廊坊市广阳区纪律检查委员会</w:t>
            </w:r>
          </w:p>
        </w:tc>
        <w:tc>
          <w:tcPr>
            <w:tcW w:w="454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仿宋_GB2312" w:cs="宋体"/>
                <w:kern w:val="0"/>
                <w:sz w:val="32"/>
                <w:szCs w:val="32"/>
              </w:rPr>
            </w:pPr>
            <w:r>
              <w:rPr>
                <w:rFonts w:hint="eastAsia" w:ascii="仿宋_GB2312" w:eastAsia="仿宋_GB2312" w:cs="宋体"/>
                <w:kern w:val="0"/>
                <w:sz w:val="32"/>
                <w:szCs w:val="32"/>
              </w:rPr>
              <w:t>截止时间：2016年12月31日</w:t>
            </w:r>
            <w:r>
              <w:rPr>
                <w:rFonts w:ascii="宋体" w:hAnsi="宋体" w:eastAsia="仿宋_GB2312" w:cs="宋体"/>
                <w:kern w:val="0"/>
                <w:sz w:val="32"/>
                <w:szCs w:val="32"/>
              </w:rPr>
              <w:t> </w:t>
            </w:r>
          </w:p>
        </w:tc>
      </w:tr>
      <w:tr>
        <w:tblPrEx>
          <w:tblCellMar>
            <w:top w:w="0" w:type="dxa"/>
            <w:left w:w="0" w:type="dxa"/>
            <w:bottom w:w="0" w:type="dxa"/>
            <w:right w:w="0" w:type="dxa"/>
          </w:tblCellMar>
        </w:tblPrEx>
        <w:trPr>
          <w:trHeight w:val="412" w:hRule="atLeast"/>
          <w:tblCellSpacing w:w="0" w:type="dxa"/>
        </w:trPr>
        <w:tc>
          <w:tcPr>
            <w:tcW w:w="428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项</w:t>
            </w:r>
            <w:r>
              <w:rPr>
                <w:rFonts w:ascii="宋体" w:hAnsi="宋体" w:eastAsia="仿宋_GB2312" w:cs="宋体"/>
                <w:b/>
                <w:bCs/>
                <w:kern w:val="0"/>
                <w:sz w:val="32"/>
                <w:szCs w:val="32"/>
              </w:rPr>
              <w:t xml:space="preserve">   </w:t>
            </w:r>
            <w:r>
              <w:rPr>
                <w:rFonts w:hint="eastAsia" w:ascii="仿宋_GB2312" w:eastAsia="仿宋_GB2312" w:cs="宋体"/>
                <w:b/>
                <w:bCs/>
                <w:kern w:val="0"/>
                <w:sz w:val="32"/>
                <w:szCs w:val="32"/>
              </w:rPr>
              <w:t>目</w:t>
            </w:r>
          </w:p>
        </w:tc>
        <w:tc>
          <w:tcPr>
            <w:tcW w:w="24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数量</w:t>
            </w:r>
          </w:p>
        </w:tc>
        <w:tc>
          <w:tcPr>
            <w:tcW w:w="45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价值（金额单位：万元）</w:t>
            </w:r>
          </w:p>
        </w:tc>
      </w:tr>
      <w:tr>
        <w:tblPrEx>
          <w:tblCellMar>
            <w:top w:w="0" w:type="dxa"/>
            <w:left w:w="0" w:type="dxa"/>
            <w:bottom w:w="0" w:type="dxa"/>
            <w:right w:w="0" w:type="dxa"/>
          </w:tblCellMar>
        </w:tblPrEx>
        <w:trPr>
          <w:trHeight w:val="645" w:hRule="atLeast"/>
          <w:tblCellSpacing w:w="0" w:type="dxa"/>
        </w:trPr>
        <w:tc>
          <w:tcPr>
            <w:tcW w:w="428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资产总额</w:t>
            </w:r>
          </w:p>
        </w:tc>
        <w:tc>
          <w:tcPr>
            <w:tcW w:w="24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w:t>
            </w:r>
          </w:p>
        </w:tc>
        <w:tc>
          <w:tcPr>
            <w:tcW w:w="45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314.12</w:t>
            </w:r>
          </w:p>
        </w:tc>
      </w:tr>
      <w:tr>
        <w:tblPrEx>
          <w:tblCellMar>
            <w:top w:w="0" w:type="dxa"/>
            <w:left w:w="0" w:type="dxa"/>
            <w:bottom w:w="0" w:type="dxa"/>
            <w:right w:w="0" w:type="dxa"/>
          </w:tblCellMar>
        </w:tblPrEx>
        <w:trPr>
          <w:trHeight w:val="645" w:hRule="atLeast"/>
          <w:tblCellSpacing w:w="0" w:type="dxa"/>
        </w:trPr>
        <w:tc>
          <w:tcPr>
            <w:tcW w:w="428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1、房屋（平方米）</w:t>
            </w:r>
          </w:p>
        </w:tc>
        <w:tc>
          <w:tcPr>
            <w:tcW w:w="24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35</w:t>
            </w:r>
          </w:p>
        </w:tc>
        <w:tc>
          <w:tcPr>
            <w:tcW w:w="45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0.67</w:t>
            </w:r>
          </w:p>
        </w:tc>
      </w:tr>
      <w:tr>
        <w:tblPrEx>
          <w:tblCellMar>
            <w:top w:w="0" w:type="dxa"/>
            <w:left w:w="0" w:type="dxa"/>
            <w:bottom w:w="0" w:type="dxa"/>
            <w:right w:w="0" w:type="dxa"/>
          </w:tblCellMar>
        </w:tblPrEx>
        <w:trPr>
          <w:trHeight w:val="645" w:hRule="atLeast"/>
          <w:tblCellSpacing w:w="0" w:type="dxa"/>
        </w:trPr>
        <w:tc>
          <w:tcPr>
            <w:tcW w:w="428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ascii="宋体" w:hAnsi="宋体" w:eastAsia="仿宋_GB2312" w:cs="宋体"/>
                <w:kern w:val="0"/>
                <w:sz w:val="32"/>
                <w:szCs w:val="32"/>
              </w:rPr>
              <w:t xml:space="preserve">   </w:t>
            </w:r>
            <w:r>
              <w:rPr>
                <w:rFonts w:hint="eastAsia" w:ascii="仿宋_GB2312" w:eastAsia="仿宋_GB2312" w:cs="宋体"/>
                <w:kern w:val="0"/>
                <w:sz w:val="32"/>
                <w:szCs w:val="32"/>
              </w:rPr>
              <w:t>其中：办公用房（平方米）</w:t>
            </w:r>
          </w:p>
        </w:tc>
        <w:tc>
          <w:tcPr>
            <w:tcW w:w="24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35</w:t>
            </w:r>
          </w:p>
        </w:tc>
        <w:tc>
          <w:tcPr>
            <w:tcW w:w="45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0.67</w:t>
            </w:r>
          </w:p>
        </w:tc>
      </w:tr>
      <w:tr>
        <w:tblPrEx>
          <w:tblCellMar>
            <w:top w:w="0" w:type="dxa"/>
            <w:left w:w="0" w:type="dxa"/>
            <w:bottom w:w="0" w:type="dxa"/>
            <w:right w:w="0" w:type="dxa"/>
          </w:tblCellMar>
        </w:tblPrEx>
        <w:trPr>
          <w:trHeight w:val="645" w:hRule="atLeast"/>
          <w:tblCellSpacing w:w="0" w:type="dxa"/>
        </w:trPr>
        <w:tc>
          <w:tcPr>
            <w:tcW w:w="428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2、车辆（台、辆）</w:t>
            </w:r>
          </w:p>
        </w:tc>
        <w:tc>
          <w:tcPr>
            <w:tcW w:w="24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13</w:t>
            </w:r>
          </w:p>
        </w:tc>
        <w:tc>
          <w:tcPr>
            <w:tcW w:w="45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185.49</w:t>
            </w:r>
          </w:p>
        </w:tc>
      </w:tr>
      <w:tr>
        <w:tblPrEx>
          <w:tblCellMar>
            <w:top w:w="0" w:type="dxa"/>
            <w:left w:w="0" w:type="dxa"/>
            <w:bottom w:w="0" w:type="dxa"/>
            <w:right w:w="0" w:type="dxa"/>
          </w:tblCellMar>
        </w:tblPrEx>
        <w:trPr>
          <w:trHeight w:val="531" w:hRule="atLeast"/>
          <w:tblCellSpacing w:w="0" w:type="dxa"/>
        </w:trPr>
        <w:tc>
          <w:tcPr>
            <w:tcW w:w="42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3、单价在50万元以上的设备</w:t>
            </w:r>
          </w:p>
        </w:tc>
        <w:tc>
          <w:tcPr>
            <w:tcW w:w="24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w:t>
            </w:r>
          </w:p>
        </w:tc>
        <w:tc>
          <w:tcPr>
            <w:tcW w:w="45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0.00</w:t>
            </w:r>
          </w:p>
        </w:tc>
      </w:tr>
      <w:tr>
        <w:tblPrEx>
          <w:tblCellMar>
            <w:top w:w="0" w:type="dxa"/>
            <w:left w:w="0" w:type="dxa"/>
            <w:bottom w:w="0" w:type="dxa"/>
            <w:right w:w="0" w:type="dxa"/>
          </w:tblCellMar>
        </w:tblPrEx>
        <w:trPr>
          <w:trHeight w:val="168" w:hRule="atLeast"/>
          <w:tblCellSpacing w:w="0" w:type="dxa"/>
        </w:trPr>
        <w:tc>
          <w:tcPr>
            <w:tcW w:w="428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4、其他固定资产</w:t>
            </w:r>
          </w:p>
        </w:tc>
        <w:tc>
          <w:tcPr>
            <w:tcW w:w="24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32"/>
                <w:szCs w:val="32"/>
              </w:rPr>
            </w:pPr>
            <w:r>
              <w:rPr>
                <w:rFonts w:ascii="宋体" w:hAnsi="宋体" w:eastAsia="仿宋_GB2312" w:cs="宋体"/>
                <w:kern w:val="0"/>
                <w:sz w:val="32"/>
                <w:szCs w:val="32"/>
              </w:rPr>
              <w:t> </w:t>
            </w:r>
          </w:p>
        </w:tc>
        <w:tc>
          <w:tcPr>
            <w:tcW w:w="45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127.99</w:t>
            </w:r>
          </w:p>
        </w:tc>
      </w:tr>
    </w:tbl>
    <w:p>
      <w:pPr>
        <w:pStyle w:val="7"/>
        <w:rPr>
          <w:rFonts w:ascii="仿宋_GB2312" w:eastAsia="仿宋_GB2312"/>
          <w:b/>
          <w:bCs/>
          <w:sz w:val="32"/>
          <w:szCs w:val="32"/>
        </w:rPr>
      </w:pPr>
      <w:r>
        <w:rPr>
          <w:rFonts w:hint="eastAsia" w:ascii="宋体" w:hAnsi="宋体" w:eastAsia="仿宋_GB2312" w:cs="宋体"/>
          <w:sz w:val="32"/>
          <w:szCs w:val="32"/>
        </w:rPr>
        <w:t> </w:t>
      </w:r>
      <w:r>
        <w:rPr>
          <w:rFonts w:ascii="宋体" w:hAnsi="宋体" w:eastAsia="仿宋_GB2312" w:cs="宋体"/>
          <w:sz w:val="32"/>
          <w:szCs w:val="32"/>
        </w:rPr>
        <w:t xml:space="preserve">   </w:t>
      </w:r>
      <w:r>
        <w:rPr>
          <w:rFonts w:hint="eastAsia" w:ascii="黑体" w:eastAsia="黑体" w:cs="宋体"/>
          <w:sz w:val="32"/>
          <w:szCs w:val="32"/>
        </w:rPr>
        <w:t xml:space="preserve"> 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黑体" w:eastAsia="黑体" w:cs="宋体"/>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ascii="宋体" w:hAnsi="宋体" w:eastAsia="仿宋_GB2312" w:cs="宋体"/>
          <w:color w:val="000000"/>
          <w:kern w:val="0"/>
          <w:sz w:val="32"/>
          <w:szCs w:val="32"/>
        </w:rPr>
        <w:t xml:space="preserve"> </w:t>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无其它需要说明的事项。</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ZFangSong-Z02">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9F9A1"/>
    <w:multiLevelType w:val="multilevel"/>
    <w:tmpl w:val="A7D9F9A1"/>
    <w:lvl w:ilvl="0" w:tentative="0">
      <w:start w:val="1"/>
      <w:numFmt w:val="decimal"/>
      <w:lvlText w:val="%1、"/>
      <w:lvlJc w:val="left"/>
      <w:pPr>
        <w:tabs>
          <w:tab w:val="left" w:pos="1138"/>
        </w:tabs>
        <w:ind w:left="1138" w:hanging="498"/>
      </w:pPr>
      <w:rPr>
        <w:b/>
        <w:bCs/>
        <w:i w:val="0"/>
        <w:iCs w:val="0"/>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F55BD5"/>
    <w:rsid w:val="00194895"/>
    <w:rsid w:val="006F3816"/>
    <w:rsid w:val="00F55BD5"/>
    <w:rsid w:val="0ACB02C4"/>
    <w:rsid w:val="2D8C0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852</Words>
  <Characters>4858</Characters>
  <Lines>40</Lines>
  <Paragraphs>11</Paragraphs>
  <TotalTime>24</TotalTime>
  <ScaleCrop>false</ScaleCrop>
  <LinksUpToDate>false</LinksUpToDate>
  <CharactersWithSpaces>5699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2017-10-27T09:26:00Z</dcterms:created>
  <dc:creator>lenovo</dc:creator>
  <cp:lastModifiedBy>111</cp:lastModifiedBy>
  <dcterms:modified xsi:type="dcterms:W3CDTF">2024-05-16T02:05:46Z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AB56E418794B43739376896918D34172</vt:lpwstr>
  </property>
</Properties>
</file>