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廊坊市广阳区供销社2017年部门预算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r>
        <w:rPr>
          <w:rFonts w:hint="eastAsia" w:ascii="方正小标宋简体" w:eastAsia="方正小标宋简体" w:cs="宋体"/>
          <w:color w:val="000000"/>
          <w:kern w:val="0"/>
          <w:sz w:val="44"/>
          <w:szCs w:val="44"/>
        </w:rPr>
        <w:t> </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廊坊市广阳区供销社</w:t>
      </w:r>
      <w:r>
        <w:rPr>
          <w:rFonts w:hint="eastAsia" w:ascii="仿宋_GB2312" w:eastAsia="仿宋_GB2312"/>
          <w:sz w:val="32"/>
          <w:szCs w:val="32"/>
        </w:rPr>
        <w:t xml:space="preserve">2017年部门预算公开如下：  </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一、部门职责及机构设置情况</w:t>
      </w:r>
      <w:bookmarkStart w:id="0" w:name="_GoBack"/>
      <w:bookmarkEnd w:id="0"/>
      <w:r>
        <w:rPr>
          <w:rFonts w:hint="eastAsia" w:ascii="黑体" w:eastAsia="黑体" w:cs="宋体"/>
          <w:b/>
          <w:bCs/>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 是贯彻区委、区政府有关农村工作和社会发展的方针、政策；</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（二）是按照区政府授权，对全区农业生产资料、日用消费品、棉花、食盐、烟花爆竹喝废旧再生资源等进行组织、协调和管理；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是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p>
    <w:p>
      <w:pPr>
        <w:widowControl/>
        <w:spacing w:line="360" w:lineRule="atLeast"/>
        <w:jc w:val="left"/>
        <w:rPr>
          <w:rFonts w:ascii="仿宋_GB2312" w:eastAsia="仿宋_GB2312" w:cs="宋体"/>
          <w:b/>
          <w:bCs/>
          <w:color w:val="000000"/>
          <w:kern w:val="0"/>
          <w:sz w:val="32"/>
          <w:szCs w:val="32"/>
        </w:rPr>
      </w:pP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xml:space="preserve">    </w:t>
      </w:r>
      <w:r>
        <w:rPr>
          <w:rFonts w:hint="eastAsia" w:ascii="仿宋_GB2312" w:eastAsia="仿宋_GB2312" w:cs="宋体"/>
          <w:color w:val="000000"/>
          <w:kern w:val="0"/>
          <w:sz w:val="28"/>
          <w:szCs w:val="28"/>
        </w:rPr>
        <w:t>部门机构设置情况</w:t>
      </w:r>
    </w:p>
    <w:tbl>
      <w:tblPr>
        <w:tblStyle w:val="4"/>
        <w:tblW w:w="951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93"/>
        <w:gridCol w:w="1388"/>
        <w:gridCol w:w="1273"/>
        <w:gridCol w:w="25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4" w:hRule="atLeast"/>
          <w:tblHeader/>
          <w:tblCellSpacing w:w="0" w:type="dxa"/>
          <w:jc w:val="center"/>
        </w:trPr>
        <w:tc>
          <w:tcPr>
            <w:tcW w:w="432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39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57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廊坊市广阳区供销合作社联合社</w:t>
            </w:r>
          </w:p>
        </w:tc>
        <w:tc>
          <w:tcPr>
            <w:tcW w:w="139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8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正科级</w:t>
            </w:r>
          </w:p>
        </w:tc>
        <w:tc>
          <w:tcPr>
            <w:tcW w:w="257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2017年预算收入586.99万元，其中：一般公共预算收入586.99万元，政府性基金收入0万元。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2017年支出预算586.99万元，其中基本支出586.99万元，包括人员经费和日常公用经费，项目支出0万元。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2017年预算收支安排586.99万元，较2016年预算增加68.46万元，其中：基本支出增加83.46万元，主要为增加人员经费支出；项目支出减少15万元，主要为财力紧张，预算未安排。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2017年预算安排我部门机关运行经费1.63万元，其中办公经费1.63万元。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1、打造精品示范工程，加快专业社建设步伐</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依托“农合联”优势，充分发挥区农民专业合作社建设领导小组办公室的职能作用，于2016年年底以前完成以下工作。一是积极采取有效措施，新发展农民专业合作社2-3家，实现新增社员100户目标。二是培树典型，提升改造现有专业社1-2家，使之成为当地规模较大、管理规范、带动明显、示范作用突出的专业合作社，以点带面，促进全区专业合作社向正规化、市场化发展。三是强化</w:t>
      </w:r>
      <w:r>
        <w:rPr>
          <w:rFonts w:hint="eastAsia" w:ascii="仿宋_GB2312" w:eastAsia="仿宋_GB2312" w:cs="宋体"/>
          <w:color w:val="000000"/>
          <w:kern w:val="0"/>
          <w:sz w:val="32"/>
          <w:szCs w:val="32"/>
          <w:lang w:eastAsia="zh-CN"/>
        </w:rPr>
        <w:t>《中华人民共和国农民专业合作社法》</w:t>
      </w:r>
      <w:r>
        <w:rPr>
          <w:rFonts w:hint="eastAsia" w:ascii="仿宋_GB2312" w:eastAsia="仿宋_GB2312" w:cs="宋体"/>
          <w:color w:val="000000"/>
          <w:kern w:val="0"/>
          <w:sz w:val="32"/>
          <w:szCs w:val="32"/>
        </w:rPr>
        <w:t>的宣传工作，定期举办专业合作社知识和农技知识培训讲座，计划培训400人次。</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2、立足企业发展，推动重点项目建设</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一是经营好市区再生资源回收市场。加大工作力度，确保该市场回迁工作顺利完成，并及时制定经营规划，全面做好废旧物资的深加工、再利用等业务工作，确保该项目成为一项惠民、利民、便民的市政工程、民心工程。二是完成万庄供销社二期改造工程。确保该项目按时按质完成。</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3、履行服务职能，促进“新网”工程建设</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一是抓好农资连锁经营服务网络体系建设。计划新建1-2家农资服务网点。二是抓好日用消费品连锁经营网络建设。计划发展“农家店”1-2家，打造“精品店”2家，提高网络覆盖率。三是抓好烟花爆竹安全经营网络建设。按照打造全区烟花爆竹流通网络体系的规划要求，本着科学布局、统一管理的原则，组建1-2家烟花爆竹常年销售网点。以提高全区烟花爆竹管理的正规化、安全化水平，为广大群众提供方便，满足群众需求。</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4、抢抓发展机遇，深化供销社综合改革</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根据全省深化供销社综合改革精神，按照“改造自我、服务农民”的总体要求，进一步深化改革，破解自身发展难题，激发内在活力，积极构建农民合作社联合社体系，搭建为农服务综合平台，力争使供销社在新时期、新形势的“三农”工作中发挥新作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一、主要职责</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廊坊市广阳区供销社为区政府领导下的区直部门。其主要职责是贯彻区委、区政府有关农村工作和社会发展的方针、政策；按照区政府授权，对全区农业生产资料、日用消费品、棉花、食盐、烟花爆竹喝废旧再生资源等进行组织、协调和管理；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r>
        <w:rPr>
          <w:rFonts w:hint="eastAsia" w:ascii="仿宋_GB2312" w:eastAsia="仿宋_GB2312" w:cs="宋体"/>
          <w:color w:val="000000"/>
          <w:kern w:val="0"/>
          <w:sz w:val="32"/>
          <w:szCs w:val="32"/>
        </w:rPr>
        <w:br w:type="textWrapping"/>
      </w:r>
      <w:r>
        <w:rPr>
          <w:rFonts w:hint="eastAsia" w:ascii="宋体" w:hAnsi="宋体" w:eastAsia="楷体_GB2312" w:cs="宋体"/>
          <w:color w:val="000000"/>
          <w:kern w:val="0"/>
          <w:sz w:val="32"/>
          <w:szCs w:val="32"/>
        </w:rPr>
        <w:t xml:space="preserve">    </w:t>
      </w:r>
      <w:r>
        <w:rPr>
          <w:rFonts w:hint="eastAsia" w:ascii="楷体_GB2312" w:eastAsia="楷体_GB2312" w:cs="宋体"/>
          <w:color w:val="000000"/>
          <w:kern w:val="0"/>
          <w:sz w:val="32"/>
          <w:szCs w:val="32"/>
        </w:rPr>
        <w:t>二、2017年主要职责分类目标</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（一）打造精品示范工程，加快专业社建设步伐</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依托“农合联”优势，充分发挥区农民专业合作社建设领导小组办公室的职能作用，于2016年年底以前完成以下工作。一是积极采取有效措施，新发展农民专业合作社5-8家，实现新增社员300户目标。二是培树典型，提升改造现有专业社2-4家，使之成为当地规模较大、管理规范、带动明显、示范作用突出的专业合作社，以点带面，促进全区专业合作社向正规化、市场化发展。三是强化</w:t>
      </w:r>
      <w:r>
        <w:rPr>
          <w:rFonts w:hint="eastAsia" w:ascii="仿宋_GB2312" w:eastAsia="仿宋_GB2312" w:cs="宋体"/>
          <w:color w:val="000000"/>
          <w:kern w:val="0"/>
          <w:sz w:val="32"/>
          <w:szCs w:val="32"/>
          <w:lang w:eastAsia="zh-CN"/>
        </w:rPr>
        <w:t>《中华人民共和国农民专业合作社法》</w:t>
      </w:r>
      <w:r>
        <w:rPr>
          <w:rFonts w:hint="eastAsia" w:ascii="仿宋_GB2312" w:eastAsia="仿宋_GB2312" w:cs="宋体"/>
          <w:color w:val="000000"/>
          <w:kern w:val="0"/>
          <w:sz w:val="32"/>
          <w:szCs w:val="32"/>
        </w:rPr>
        <w:t>的宣传工作，定期举办专业合作社知识和农技知识培训讲座，计划培训500人次。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（二）立足企业发展，推动重点项目建设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一是完成万庄供销社二期改造工程。确保该项目按时按质完成。二是深化基层供销社体制改革，谋划并启动九州供销社危房改造建设工程。</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（三）履行服务职能，促进“新网”工程建设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是抓好农资连锁经营服务网络体系建设。计划新建6-8家农资服务网点。二是抓好日用消费品连锁经营网络建设。计划发展“农家店”5家，打造“精品店”5家，提高网络覆盖率。三是抓好烟花爆竹安全经营网络建设。按照打造全区烟花爆竹流通网络体系的规划要求，本着科学布局、统一管理的原则，组建1-2家烟花爆竹常年销售网点。以提高全区烟花爆竹管理的正规化、安全化水平，为广大群众提供方便，满足群众需求。</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p>
      <w:pPr>
        <w:widowControl/>
        <w:spacing w:line="360" w:lineRule="atLeast"/>
        <w:jc w:val="left"/>
        <w:rPr>
          <w:rFonts w:ascii="宋体" w:hAnsi="宋体" w:eastAsia="仿宋_GB2312" w:cs="宋体"/>
          <w:color w:val="000000"/>
          <w:kern w:val="0"/>
          <w:sz w:val="32"/>
          <w:szCs w:val="32"/>
        </w:rPr>
      </w:pPr>
    </w:p>
    <w:tbl>
      <w:tblPr>
        <w:tblStyle w:val="4"/>
        <w:tblpPr w:leftFromText="180" w:rightFromText="180" w:vertAnchor="text" w:horzAnchor="page" w:tblpX="3609" w:tblpY="-905"/>
        <w:tblOverlap w:val="never"/>
        <w:tblW w:w="97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72"/>
        <w:gridCol w:w="936"/>
        <w:gridCol w:w="1536"/>
        <w:gridCol w:w="1766"/>
        <w:gridCol w:w="879"/>
        <w:gridCol w:w="886"/>
        <w:gridCol w:w="748"/>
        <w:gridCol w:w="748"/>
        <w:gridCol w:w="7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tblHeader/>
          <w:tblCellSpacing w:w="0" w:type="dxa"/>
        </w:trPr>
        <w:tc>
          <w:tcPr>
            <w:tcW w:w="6677" w:type="dxa"/>
            <w:gridSpan w:val="5"/>
            <w:tcBorders>
              <w:top w:val="outset" w:color="auto" w:sz="6" w:space="0"/>
              <w:left w:val="outset" w:color="auto" w:sz="6" w:space="0"/>
              <w:bottom w:val="outset" w:color="auto" w:sz="6" w:space="0"/>
              <w:right w:val="outset" w:color="auto" w:sz="6" w:space="0"/>
            </w:tcBorders>
            <w:vAlign w:val="center"/>
          </w:tcPr>
          <w:p>
            <w:pPr>
              <w:widowControl/>
              <w:jc w:val="center"/>
            </w:pPr>
          </w:p>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639廊坊市广阳区供销社</w:t>
            </w:r>
          </w:p>
        </w:tc>
        <w:tc>
          <w:tcPr>
            <w:tcW w:w="3087"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trPr>
        <w:tc>
          <w:tcPr>
            <w:tcW w:w="1518"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961"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156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1812"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88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087"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供销流通管理</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贯彻区委和区政府有关农村工作和社会发展的方针、政策，制定全区供销社的发展战略和规划，指导全区供销社的改革和发展。</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紧紧围绕“三农”工作大局，以密切与农民利益联结为核心，以提升为农服务能力为根本，以强化基层社和创新联合社治理机制为重点，努力开创特色供销合作事业新局面。按照“改造自我，服务农民”的总体要求，朝着办成农民合作经济组织的方向，大力推行经营创新、组织创新、服务创新，推动综合改革顺利进行。</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供销社综合改革</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中共中央、国务院下发的《关于深化供销社综合改革的决定》，全区供销系统按照“改造自我，服务农民”总要求，强力推进组织体系、服务体系、经营体系、金融体系和管理体制创新，把供销合作社办成上下贯通的实体性合作经济组织，成为服务农业、农村、农民的生力军和综合平台，成为中国特色农村工作体系和农业服务体系的重要组成部分。</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到2020年，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在全区构建起农民合作社联合社体系；符合条件的乡镇、村全部建立综合服务中心和综合服务社；农村现代流通服务网络逐步得到完善提升</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全区供销系统农资流通网络覆盖80%乡村，日用消费品流通网络得到长足发展，农产品、再生资源回收利用网络建设稳中有进。</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全区供销系统农资流通网络覆盖70%乡村，日用消费品流通网络得到长足发展，农产品、再生资源回收利用网络建设发展良好。</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全区供销系统农资流通网络覆盖60%乡村，日用消费品流通网络得到长足发展，农产品、再生资源回收利用网络建设成效一般。</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全区供销系统农资流通网络覆盖低于60%，日用消费品流通网络得到长足发展，农产品、再生资源回收利用网络建设停滞不前。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物资储备管理</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按照区政府授权，对全区重要农业生产资料、棉花、烟花爆竹和废旧再生资源进行组织、协调和管理，承担重要防汛救灾物资的储备工作。</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根据广阳区防汛抗旱指挥部要求，负责防汛抗旱、抢险救灾有关物资的储备、管理、供应和调拨的相关工作。</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防汛物资储备</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汛期确保防汛物资储备数量充足，能够及时调运，确保安全度汛。</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根据区防汛抗旱指挥部要求，负责防汛抗旱、抢险救灾有关物资的储备、管理、供应和调拨的相关工作。</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储备铁锹7000把，编织袋20000条，绳子4000公斤。</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100%完成储备任务。</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完成储备任务的90%以上。</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完成储备任务的85%以上。</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完成储备任务的80%以上。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盐务管理</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根据《河北省食盐加碘消除碘缺乏危害监督管理条例》和有关规定，按照区政府授权，具体负责全区流通领域盐业行政执法管理，食盐批发和零售市场的监督检查，做好全区食盐专营工作。</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维护我区盐业流通市场秩序，保障食盐安全</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盐业执法</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组织开展全区盐业行政执法工作，打击盐业违法行为，查处盐业违法案件。规范盐业行政执法程序；组织执法案卷评查和执法人员培训；追究执法过错责任，纠正违法执法行为。</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全区盐业违法行为得到有效打击和遏制，食盐市场稳定有序。</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重大盐业违法行为得到查处，避免发生重大执法过错和错案。</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食盐零售许可证换发率达到100%，培训全区盐业执法人员参训率达到100%、严格行政执法，行政复议率不高于2%。</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食盐零售许可证换发率达到90%，培训全区盐业执法人员参训率不低于90%、严格行政执法，行政复议率不高于5%。</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食盐零售许可证换发率达到80%，培训全区盐业执法人员参训率不低于80%、严格行政执法，行政复议率不高于10%。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食盐零售许可证换发率达到60%，培训全区盐业执法人员参训率低于60%、严格行政执法，行政复议率超过20%。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服务三农事务管理</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负责指导全区供销社的业务活动，参与、推动和服务农业产业化经营，发展龙头企业、专业合作社和消费合作社，加快农业社会化服务体系和农产品市场体系建设、开拓城乡市场。2.指导系统实施“科教兴社”战略，指导系统技术创新和技术推广，组织开展对社员和职工教育与培训，为全区供销社提供科技服务和信息服务。3.负责全区供销社所属企业改革，建立现代企业制度，指导系统党风廉政建设。4.承办区委、区政府和市供销社交办的其他事项。</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以改革创新为动力、以物流配送为支撑，坚持供销社主办、合作式发展、市场化运作，在乡镇政府所在地和行政村重点建设以日用消费品、农业生产资料为主营业务的供销社农村超市；在县城重点建设日用消费品、农业生产资料中心超市并具备配送功能。2.健全农村市场体系，大力发展农业生产资料现代经营服务网络、日用消费品现代经营网络、烟花爆竹零售网络和再生资源回收利用网络，推进适应现代农业要求的流通产业发展，促进全区农村经济快速健康发展。加快全区供销社系统农资、日用消费品、烟花爆竹和再生资源四大网络建设，增强企业发展实力。3.主</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服务体系建设</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该项目由省供销社所属供销商贸有限公司牵头，与全国供销合作总社新合作商贸连锁集团有限公司合作，联合供销系统连锁经营区域龙头，以资本、技术和品牌为纽带，市场化运作、合作式发展，以县及县以下农村为重点，打造县有日用消费品购物中心、配送中心，乡镇有中心超市，村有连锁便民店的供销合作社县域流通网络新格局。</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将“民得利”日用消费品农家店逐步改造成为供销社超市，与村民中心配套建设，具备日用消费品、农产品销售等经营性服务，打造县有配送中心、乡镇有连锁超市、村街有便利店的农村日用消费品现代流通网络。</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到2016年底，发展村级便利店110家以上，改造精品店30家。</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到2016年底，发展村级便利店110家以上，改造精品店30家。</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到2016年底，发展村级便利店100家，改造精品店25家。</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到2016年底，发展村级便利店90家，改造精品店20家。</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到2016年底，发展村级便利店90家以下，改造精品店补助15家。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组织体系建设</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充分发挥区“农合联”和区农民专业合作社建设领导小组办公室职能作用，壮大以农民专业合作社、各类专业协会、种植养殖大户等为成员的农民合作经济组织体系，形成组织架构完整、规模较大、功能较完善的为农服务平台。</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发展各类专业为农服务组织，深入开展为农服务、助农增收，推进全区农业现代级进程。</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带动区域主导产业3个，农户6500户，年助农增收1400万元。</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带动区域主导产业3个，农户6500户，年助农增收1400万元。</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带动区域主导产业2个，农户5000户，年助农增收1000万元。</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带动区域主导产业2个，农户4000户，年助农增收800万元。</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带动区域主导产业2个以下，带动农户4000户以下，年助农增收不足800元。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服务体系建设</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用于支持供销社系统推进农业生产资料、烟花爆竹、日用消费品、再生资源回收利用等四大网络建设，将有利于健全农村市场体系，发展适应现代农业要求的流通产业，帮助农民增产增收，便民惠农，拉动农村消费。重点用于支持区供销社系统在建、新建和改扩建项目。</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加快全区供销社系统农资、烟花爆竹、日用消费品和再生资源四大网络建设，增强企业发展实力。</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组织推荐1个符合“新网工程”要求的项目申报，力争通过省级审核取得项目资金。</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组织推荐1个符合“新网工程”要求的项目申报，力争通过省级审核取得项目资金。</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组织推荐1个符合“新网工程”要求的项目申报，力争通过省级审核取得项目资金。</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组织推荐1个符合“新网工程”要求的项目申报，力争通过省级审核取得项目资金。</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未完成新网工程”项目申报。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农村金融体系建设</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面向涉农企业、专业合作经济组织、农业大户以及中小企业等，提供专业、便捷、高效的信贷支持及投资担保服务。</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解决“三农”企业的融资难问题，促进全区新农村流通和投融资体系建设。</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按照改革方案逐步推进，实现农村合作金融体系创建目标。</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完成目标100%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完成目标80%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完成目标60%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完成目标60%以下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服务体系建设</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为充分发挥基层党组织的战斗堡垒作用，引导广大党员为深化供销社综合改革作出积极贡献，省委组织部、省供销社党组研究决定，在全省供销社系统组织实施“旗帜供销”工程，积极探索基层服务型党组织。</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在全区供销系统符合条件的单位建起基层党组织；党组织工作制度健全完善，工作运行规范；党员全部亮明身份，做到配牌上岗，发挥表率作用。</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总结推广固安、霸州试点先进经验，在全区供销系统开展“旗帜供销”工程，力争在符合条件的单位全部建起基层党组织</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总结推广固安、霸州试点先进经验，在全区供销系统深入开展“旗帜供销”工程，力争100%符合条件的单位建起基层党组织。</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总结推广固安、霸州试点先进经验，在全区供销系统深入开展“旗帜供销”工程，力争85%符合条件的单位建起基层党组织。</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总结推广固安、霸州试点先进经验，在全区供销系统深入开展“旗帜供销”工程，力争75%符合条件的单位建起基层党组织。</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总结推广固安、霸州试点先进经验，在全区供销系统深入开展“旗帜供销”工程，符合条件的单位基层党组织完善率低于60%。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供销合作政务管理</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管理运营本级社有资产，对直属企业行使出资人职能，依法享有所有者的资产收益、重大问题决策和选择管理者的权利，决定资产收益办法和支配方式。负责机关及直属单位党建、精神文明建设和政治思想工作，按照干部管理权限考察任免干部。</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以供销社综合改革为契机，盘活现有资产、推进社属企业改革，维护区直和谐稳定局面。</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trPr>
        <w:tc>
          <w:tcPr>
            <w:tcW w:w="1518"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96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15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制订区供销系统发展战略和规划、指导区直系统业务活动、确保社有资产保值增值，确保职工队伍稳定。</w:t>
            </w:r>
          </w:p>
        </w:tc>
        <w:tc>
          <w:tcPr>
            <w:tcW w:w="181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完成区供销系统综合业务指标。</w:t>
            </w:r>
          </w:p>
        </w:tc>
        <w:tc>
          <w:tcPr>
            <w:tcW w:w="8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区供销系统综合业务完成情况。</w:t>
            </w:r>
          </w:p>
        </w:tc>
        <w:tc>
          <w:tcPr>
            <w:tcW w:w="88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综合业务按年度计划完成情况达100%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综合业务按年度计划完成情况达95%</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综合业务按年度计划完成情况达90%</w:t>
            </w:r>
          </w:p>
        </w:tc>
        <w:tc>
          <w:tcPr>
            <w:tcW w:w="749"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综合业务按年度计划完成情况达80%</w:t>
            </w:r>
          </w:p>
        </w:tc>
      </w:tr>
    </w:tbl>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廊坊市广阳区供销社</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ascii="仿宋_GB2312" w:eastAsia="仿宋_GB2312"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我部门（含所属单位）上年末无固定资产，我部门本年度无拟购置固定资产，</w:t>
      </w:r>
    </w:p>
    <w:p>
      <w:pPr>
        <w:widowControl/>
        <w:spacing w:line="360" w:lineRule="atLeast"/>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详见下表。</w:t>
      </w:r>
      <w:r>
        <w:rPr>
          <w:rFonts w:hint="eastAsia" w:ascii="宋体" w:hAnsi="宋体" w:eastAsia="仿宋_GB2312" w:cs="宋体"/>
          <w:color w:val="000000"/>
          <w:kern w:val="0"/>
          <w:sz w:val="32"/>
          <w:szCs w:val="32"/>
        </w:rPr>
        <w:t> </w:t>
      </w:r>
    </w:p>
    <w:tbl>
      <w:tblPr>
        <w:tblStyle w:val="4"/>
        <w:tblW w:w="10175" w:type="dxa"/>
        <w:jc w:val="center"/>
        <w:tblCellSpacing w:w="0" w:type="dxa"/>
        <w:tblLayout w:type="autofit"/>
        <w:tblCellMar>
          <w:top w:w="0" w:type="dxa"/>
          <w:left w:w="0" w:type="dxa"/>
          <w:bottom w:w="0" w:type="dxa"/>
          <w:right w:w="0" w:type="dxa"/>
        </w:tblCellMar>
      </w:tblPr>
      <w:tblGrid>
        <w:gridCol w:w="3940"/>
        <w:gridCol w:w="2700"/>
        <w:gridCol w:w="3655"/>
      </w:tblGrid>
      <w:tr>
        <w:tblPrEx>
          <w:tblCellMar>
            <w:top w:w="0" w:type="dxa"/>
            <w:left w:w="0" w:type="dxa"/>
            <w:bottom w:w="0" w:type="dxa"/>
            <w:right w:w="0" w:type="dxa"/>
          </w:tblCellMar>
        </w:tblPrEx>
        <w:trPr>
          <w:trHeight w:val="705" w:hRule="atLeast"/>
          <w:tblCellSpacing w:w="0" w:type="dxa"/>
          <w:jc w:val="center"/>
        </w:trPr>
        <w:tc>
          <w:tcPr>
            <w:tcW w:w="10205"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廊坊市广阳区供销合作社联合社</w:t>
            </w:r>
          </w:p>
        </w:tc>
        <w:tc>
          <w:tcPr>
            <w:tcW w:w="3635"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39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6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39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6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9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6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6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bl>
    <w:p>
      <w:pPr>
        <w:pStyle w:val="8"/>
        <w:rPr>
          <w:rFonts w:ascii="黑体" w:eastAsia="黑体" w:cs="宋体"/>
          <w:b/>
          <w:bCs/>
          <w:sz w:val="32"/>
          <w:szCs w:val="32"/>
        </w:rPr>
      </w:pPr>
    </w:p>
    <w:p>
      <w:pPr>
        <w:pStyle w:val="8"/>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2F336C"/>
    <w:rsid w:val="00241B35"/>
    <w:rsid w:val="002F336C"/>
    <w:rsid w:val="004D2499"/>
    <w:rsid w:val="79C02759"/>
    <w:rsid w:val="7AE9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character" w:customStyle="1" w:styleId="7">
    <w:name w:val="apple-converted-space"/>
    <w:basedOn w:val="5"/>
    <w:uiPriority w:val="0"/>
  </w:style>
  <w:style w:type="paragraph" w:customStyle="1" w:styleId="8">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1166</Words>
  <Characters>6647</Characters>
  <Lines>55</Lines>
  <Paragraphs>15</Paragraphs>
  <TotalTime>6</TotalTime>
  <ScaleCrop>false</ScaleCrop>
  <LinksUpToDate>false</LinksUpToDate>
  <CharactersWithSpaces>7798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2017-10-27T09:49:00Z</dcterms:created>
  <dc:creator>lenovo</dc:creator>
  <cp:lastModifiedBy>111</cp:lastModifiedBy>
  <dcterms:modified xsi:type="dcterms:W3CDTF">2024-05-16T07:10:17Z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E41927EB93A74B45BFA8EF6086A04CE9</vt:lpwstr>
  </property>
</Properties>
</file>